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Те</w:t>
      </w:r>
      <w:r>
        <w:rPr>
          <w:rStyle w:val="accented"/>
          <w:b/>
          <w:bCs/>
          <w:color w:val="000000"/>
          <w:sz w:val="27"/>
          <w:szCs w:val="27"/>
        </w:rPr>
        <w:t>о</w:t>
      </w:r>
      <w:r>
        <w:rPr>
          <w:b/>
          <w:bCs/>
          <w:color w:val="000000"/>
          <w:sz w:val="27"/>
          <w:szCs w:val="27"/>
        </w:rPr>
        <w:t>рия позн</w:t>
      </w:r>
      <w:r>
        <w:rPr>
          <w:rStyle w:val="accented"/>
          <w:b/>
          <w:bCs/>
          <w:color w:val="000000"/>
          <w:sz w:val="27"/>
          <w:szCs w:val="27"/>
        </w:rPr>
        <w:t>а</w:t>
      </w:r>
      <w:r>
        <w:rPr>
          <w:b/>
          <w:bCs/>
          <w:color w:val="000000"/>
          <w:sz w:val="27"/>
          <w:szCs w:val="27"/>
        </w:rPr>
        <w:t>ния,</w:t>
      </w:r>
      <w:r>
        <w:rPr>
          <w:color w:val="000000"/>
          <w:sz w:val="27"/>
          <w:szCs w:val="27"/>
        </w:rPr>
        <w:t> гносеология, эпистемология, раздел философии, в котором изучаются проблемы природы познания и его возможностей, отношения знания к реальности, исследуются всеобщие предпосылки познания, выявляются условия его достоверности и истинности. В отличие от психологии, физиологии высшей нервной деятельности и других наук, Т. п. как философская дисциплина анализирует не индивидуальные, функционирующие в психике механизмы, позволяющие тому или иному субъекту прийти к определённому познавательному результату, а всеобщие основания, дающие возможность рассматривать этот результат как знание, выражающее реальное, истинное положение вещей. Два основных направления в Т. п. — </w:t>
      </w:r>
      <w:hyperlink r:id="rId4" w:history="1">
        <w:r>
          <w:rPr>
            <w:rStyle w:val="a4"/>
            <w:i/>
            <w:iCs/>
            <w:sz w:val="27"/>
            <w:szCs w:val="27"/>
          </w:rPr>
          <w:t>материализм</w:t>
        </w:r>
      </w:hyperlink>
      <w:r>
        <w:rPr>
          <w:color w:val="000000"/>
          <w:sz w:val="27"/>
          <w:szCs w:val="27"/>
        </w:rPr>
        <w:t> и </w:t>
      </w:r>
      <w:hyperlink r:id="rId5" w:history="1">
        <w:r>
          <w:rPr>
            <w:rStyle w:val="a4"/>
            <w:i/>
            <w:iCs/>
            <w:sz w:val="27"/>
            <w:szCs w:val="27"/>
          </w:rPr>
          <w:t>идеализм</w:t>
        </w:r>
      </w:hyperlink>
      <w:r>
        <w:rPr>
          <w:i/>
          <w:iCs/>
          <w:color w:val="000000"/>
          <w:sz w:val="27"/>
          <w:szCs w:val="27"/>
        </w:rPr>
        <w:t>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История Т. п. В античности центральной в Т. п. выступала проблема отношения знания и мнения, </w:t>
      </w:r>
      <w:hyperlink r:id="rId6" w:history="1">
        <w:r>
          <w:rPr>
            <w:rStyle w:val="a4"/>
            <w:i/>
            <w:iCs/>
            <w:sz w:val="27"/>
            <w:szCs w:val="27"/>
          </w:rPr>
          <w:t>истины</w:t>
        </w:r>
      </w:hyperlink>
      <w:r>
        <w:rPr>
          <w:color w:val="000000"/>
          <w:sz w:val="27"/>
          <w:szCs w:val="27"/>
        </w:rPr>
        <w:t> и заблуждения. При этом знание понималось в единстве с его предметом: для идеалиста Платона предметом познания является мир идей, для древнегреческих материалистов — природа. Античная философия исходила из того, что знание есть своеобразная копия предмета; эта предпосылка принималась как нечто совершенно естественное и даже особенно не обсуждалась. Главный интерес дискуссии состоял в выяснении того процесса, посредством которого предмет переводится в состояние знания. Тезис о единстве знания и предмета специфически сочетался с непониманием активности субъекта в процессе познания: истинный объект может быть только «дан» познающему; все продукты его творчества, его субъективной познавательной деятельности — лишь неистинное мнение.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Крупный шаг в развитии Т. п. был сделан европейской философией 17—18 вв., главными для которой стали проблемы связи «я» и внешнего мира, внешнего и внутреннего </w:t>
      </w:r>
      <w:hyperlink r:id="rId7" w:history="1">
        <w:r>
          <w:rPr>
            <w:rStyle w:val="a4"/>
            <w:i/>
            <w:iCs/>
            <w:sz w:val="27"/>
            <w:szCs w:val="27"/>
          </w:rPr>
          <w:t>опыта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Т. п. выступала не только как анализ философско-метафизического знания, но и как критическое исследование научного знания. В этот период проблематика Т. п. занимала центральное место в философии, будучи исходной при построении философских систем (а иногда и совпадая с этими системами). Ставилась задача отыскания абсолютно достоверного знания, которое было бы исходным пунктом и вместе с тем предельным основанием всей остальной совокупности знаний, позволяющим дать оценку этих знаний по степени их истинности.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Выбор разных путей решения этой задачи обусловил появление </w:t>
      </w:r>
      <w:hyperlink r:id="rId8" w:history="1">
        <w:r>
          <w:rPr>
            <w:rStyle w:val="a4"/>
            <w:i/>
            <w:iCs/>
            <w:sz w:val="27"/>
            <w:szCs w:val="27"/>
          </w:rPr>
          <w:t>рационализма</w:t>
        </w:r>
      </w:hyperlink>
      <w:r>
        <w:rPr>
          <w:color w:val="000000"/>
          <w:sz w:val="27"/>
          <w:szCs w:val="27"/>
        </w:rPr>
        <w:t> и </w:t>
      </w:r>
      <w:hyperlink r:id="rId9" w:history="1">
        <w:r>
          <w:rPr>
            <w:rStyle w:val="a4"/>
            <w:i/>
            <w:iCs/>
            <w:sz w:val="27"/>
            <w:szCs w:val="27"/>
          </w:rPr>
          <w:t>эмпиризма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Ориентация на механико-математическое естествознание того времени, попытка применить методы науки непосредственно к решению философских вопросов определяли понимание рационализмом </w:t>
      </w:r>
      <w:hyperlink r:id="rId10" w:history="1">
        <w:r>
          <w:rPr>
            <w:rStyle w:val="a4"/>
            <w:i/>
            <w:iCs/>
            <w:sz w:val="27"/>
            <w:szCs w:val="27"/>
          </w:rPr>
          <w:t>врождённых идей</w:t>
        </w:r>
      </w:hyperlink>
      <w:r>
        <w:rPr>
          <w:color w:val="000000"/>
          <w:sz w:val="27"/>
          <w:szCs w:val="27"/>
        </w:rPr>
        <w:t xml:space="preserve"> (из которых якобы и может быть выведено всё остальное знание) по аналогии с геометрическими аксиомами. Эмпиризм пришёл к уподоблению данных чувственности (как элементарных единиц знания) своеобразным «атомам», взаимодействие которых порождает все остальные познавательные образования. Взаимоотношение чувственности и разума, эмпирического и рационального исследовалось Т. п. не только как проблема происхождения знания, а </w:t>
      </w:r>
      <w:proofErr w:type="gramStart"/>
      <w:r>
        <w:rPr>
          <w:color w:val="000000"/>
          <w:sz w:val="27"/>
          <w:szCs w:val="27"/>
        </w:rPr>
        <w:t>прежде всего</w:t>
      </w:r>
      <w:proofErr w:type="gramEnd"/>
      <w:r>
        <w:rPr>
          <w:color w:val="000000"/>
          <w:sz w:val="27"/>
          <w:szCs w:val="27"/>
        </w:rPr>
        <w:t xml:space="preserve"> как проблема логического </w:t>
      </w:r>
      <w:r>
        <w:rPr>
          <w:color w:val="000000"/>
          <w:sz w:val="27"/>
          <w:szCs w:val="27"/>
        </w:rPr>
        <w:lastRenderedPageBreak/>
        <w:t>обоснования системы знания. В этой связи философия 17—18 вв. анализировала проблемы взаимоотношения субъекта и материальной субстанции, «я» и внешнего мира (и производные от них проблемы внешнего и внутреннего опыта, </w:t>
      </w:r>
      <w:hyperlink r:id="rId11" w:history="1">
        <w:r>
          <w:rPr>
            <w:rStyle w:val="a4"/>
            <w:i/>
            <w:iCs/>
            <w:sz w:val="27"/>
            <w:szCs w:val="27"/>
          </w:rPr>
          <w:t>первичных и вторичных качеств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возникшие как следствие осуществленного Р. Декартом выделения субъекта (субъективного) как чего-то резко отличного от материальной субстанции и логически противоположного ей. Материалистический эмпиризм, выступая против превращения идеалистами-рационалистами мышления в самостоятельную субстанцию, в «рациональную вещь», остро критиковал декартовское учение о врождённых идеях. Признавая сам факт существования «я» как феномена психической жизни, непосредственно переживаемого познающим субъектом, эмпиризм безуспешно пытался объяснить происхождение и функционирование внутреннего опыта — проблему, неразрешимую в рамках метафизической формы материализма того времени. Слабости метафизического материализма были использованы субъективным идеализмом (Дж. Беркли, Д. Юм)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который спекулировал прежде всего на проблематике Т. п.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В немецкой классической философии проблемы Т. п. связывались с исследованием исторического развития форм практической и познавательной деятельности. В философской системе И. Канта впервые предпринимается попытка построить такую Т. п.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которая была бы совершенно независима от всяких допущений о реальности — как онтологических, так и психологических. Кант постулировал зависимость реальности от самого познания: объект и субъект познания существуют лишь как форма протекания познавательной деятельности. По Канту, предметность, объективация содержаний знания — форма деятельности субъекта (который не существует вне познаваемых им предметов); с др. стороны, объект существует, согласно Канту, как таковой лишь в формах деятельности субъекта. </w:t>
      </w:r>
      <w:hyperlink r:id="rId12" w:history="1">
        <w:r>
          <w:rPr>
            <w:rStyle w:val="a4"/>
            <w:i/>
            <w:iCs/>
            <w:sz w:val="27"/>
            <w:szCs w:val="27"/>
          </w:rPr>
          <w:t>«Вещь в себе»</w:t>
        </w:r>
      </w:hyperlink>
      <w:r>
        <w:rPr>
          <w:color w:val="000000"/>
          <w:sz w:val="27"/>
          <w:szCs w:val="27"/>
        </w:rPr>
        <w:t xml:space="preserve">, то есть реальность, существующая вне всякого отношения к познающему субъекту, даётся последнему лишь в формах объектов, являющихся по существу продуктами собственного творчества субъекта. Установка Канта на создание «чистой» Т. п.. независимой от онтологических предпосылок, была реализована им лишь частично. Доведение до конца «чистого </w:t>
      </w:r>
      <w:proofErr w:type="spellStart"/>
      <w:r>
        <w:rPr>
          <w:color w:val="000000"/>
          <w:sz w:val="27"/>
          <w:szCs w:val="27"/>
        </w:rPr>
        <w:t>гносеологизма</w:t>
      </w:r>
      <w:proofErr w:type="spellEnd"/>
      <w:r>
        <w:rPr>
          <w:color w:val="000000"/>
          <w:sz w:val="27"/>
          <w:szCs w:val="27"/>
        </w:rPr>
        <w:t>» принадлежит уже </w:t>
      </w:r>
      <w:hyperlink r:id="rId13" w:history="1">
        <w:r>
          <w:rPr>
            <w:rStyle w:val="a4"/>
            <w:i/>
            <w:iCs/>
            <w:sz w:val="27"/>
            <w:szCs w:val="27"/>
          </w:rPr>
          <w:t>неокантианству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отвергнувшему не только «вещь в себе», но и самого субъекта, осуществляющего познание.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После Канта немецкая классическая философия стремилась преодолеть разрыв гносеологической и онтологической проблематики. Наиболее полно в домарксистской философии эта задача решалась Г. Гегелем. Утверждая диалектическую взаимозависимость субъекта и объекта, Гегель показал несостоятельность их метафизического противопоставления. По Гегелю, субъект и объект по существу тождественны друг другу, так как в основе действительности лежит саморазвитие абсолютного духа, который является абсолютным субъектом, имеющим в качестве объекта самого себя. Отсюда проистекает принцип совпадения диалектики, логики и Т. п. сформулированный Гегелем на объективно-идеалистической основе.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  Анализ проблем Т. п. в буржуазной философии 20 в. характеризуется следующими особенностями. Впервые в истории Т. п. идеалистический эмпиризм (</w:t>
      </w:r>
      <w:hyperlink r:id="rId14" w:history="1">
        <w:r>
          <w:rPr>
            <w:rStyle w:val="a4"/>
            <w:i/>
            <w:iCs/>
            <w:sz w:val="27"/>
            <w:szCs w:val="27"/>
          </w:rPr>
          <w:t>махизм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15" w:history="1">
        <w:r>
          <w:rPr>
            <w:rStyle w:val="a4"/>
            <w:i/>
            <w:iCs/>
            <w:sz w:val="27"/>
            <w:szCs w:val="27"/>
          </w:rPr>
          <w:t>неореализм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сочетается с </w:t>
      </w:r>
      <w:proofErr w:type="spellStart"/>
      <w:r>
        <w:rPr>
          <w:color w:val="000000"/>
          <w:sz w:val="27"/>
          <w:szCs w:val="27"/>
        </w:rPr>
        <w:t>онтологизмом</w:t>
      </w:r>
      <w:proofErr w:type="spellEnd"/>
      <w:r>
        <w:rPr>
          <w:color w:val="000000"/>
          <w:sz w:val="27"/>
          <w:szCs w:val="27"/>
        </w:rPr>
        <w:t>, то есть с определёнными допущениями о реальности и её свойствах. Фундаментальное для эмпиризма понятие элементарных данных чувственности истолковывается как относящееся не к субъективным психическим переживаниям субъекта, а к некоторым объективно (то есть независимо от индивидуального сознания) существующим чувственным сущностям («нейтральные» элементы мира Э. Маха, «чувственные данные» неореалистов, «</w:t>
      </w:r>
      <w:proofErr w:type="spellStart"/>
      <w:r>
        <w:rPr>
          <w:color w:val="000000"/>
          <w:sz w:val="27"/>
          <w:szCs w:val="27"/>
        </w:rPr>
        <w:t>сенсибилии</w:t>
      </w:r>
      <w:proofErr w:type="spellEnd"/>
      <w:r>
        <w:rPr>
          <w:color w:val="000000"/>
          <w:sz w:val="27"/>
          <w:szCs w:val="27"/>
        </w:rPr>
        <w:t>» Б. Рассела и т. д.). Т. п. такого типа сочетают в себе черты как субъективного, так и объективного идеализма. Другая особенность современной западной философии состоит в появлении направлений (</w:t>
      </w:r>
      <w:hyperlink r:id="rId16" w:history="1">
        <w:r>
          <w:rPr>
            <w:rStyle w:val="a4"/>
            <w:i/>
            <w:iCs/>
            <w:sz w:val="27"/>
            <w:szCs w:val="27"/>
          </w:rPr>
          <w:t>логический позитивизм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17" w:history="1">
        <w:r>
          <w:rPr>
            <w:rStyle w:val="a4"/>
            <w:i/>
            <w:iCs/>
            <w:sz w:val="27"/>
            <w:szCs w:val="27"/>
          </w:rPr>
          <w:t>неопозитивизм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18" w:history="1">
        <w:r>
          <w:rPr>
            <w:rStyle w:val="a4"/>
            <w:i/>
            <w:iCs/>
            <w:sz w:val="27"/>
            <w:szCs w:val="27"/>
          </w:rPr>
          <w:t>аналитическая философия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 которые отрицают осмысленность Т. п. (как и всей классической философии). С точки зрения логического позитивизма, идеалом осмысленности является научное знание; все предложения науки можно разделить либо на синтетические (высказывания эмпирических наук), либо на аналитические (истины логики, математики); классические философские проблемы не имеют смысла, ибо предполагаемые этими проблемами возможные ответы не могут быть отнесены ни к эмпирически-синтетическим, ни к аналитическим высказываниям. Проблемы Т. п. (отношение субъекта к объекту. природа реальности и др.) носят, согласно логическому позитивизму, характер типичных </w:t>
      </w:r>
      <w:proofErr w:type="spellStart"/>
      <w:r>
        <w:rPr>
          <w:color w:val="000000"/>
          <w:sz w:val="27"/>
          <w:szCs w:val="27"/>
        </w:rPr>
        <w:t>псевдопроблем</w:t>
      </w:r>
      <w:proofErr w:type="spellEnd"/>
      <w:r>
        <w:rPr>
          <w:color w:val="000000"/>
          <w:sz w:val="27"/>
          <w:szCs w:val="27"/>
        </w:rPr>
        <w:t>. </w:t>
      </w:r>
      <w:hyperlink r:id="rId19" w:history="1">
        <w:r>
          <w:rPr>
            <w:rStyle w:val="a4"/>
            <w:i/>
            <w:iCs/>
            <w:sz w:val="27"/>
            <w:szCs w:val="27"/>
          </w:rPr>
          <w:t>Экзистенциализм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в противоположность неопозитивизму, критикует Т. п. (и всю классическую философскую «метафизику») за близость к правилам, которые приняты для формулирования вопросов в науке или в обыденном языке.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Т. п. марксистско-ленинской философии. Отвергая все формы гносеологического идеализма, марксистско-ленинская Т. п. исходит из последовательно материалистического решения </w:t>
      </w:r>
      <w:hyperlink r:id="rId20" w:history="1">
        <w:r>
          <w:rPr>
            <w:rStyle w:val="a4"/>
            <w:i/>
            <w:iCs/>
            <w:sz w:val="27"/>
            <w:szCs w:val="27"/>
          </w:rPr>
          <w:t>основного вопроса философии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то есть рассматривает познаваемый материальный мир, объективную реальность как существующую вне и независимо от сознания. Из принципиального тезиса о материальной обусловленности познания следует, что процесс познания осуществляется не неким оторванным от человека «чистым» сознанием или самосознанием, а реальным человеком посредством его сознания. </w:t>
      </w:r>
      <w:hyperlink r:id="rId21" w:history="1">
        <w:r>
          <w:rPr>
            <w:rStyle w:val="a4"/>
            <w:i/>
            <w:iCs/>
            <w:sz w:val="27"/>
            <w:szCs w:val="27"/>
          </w:rPr>
          <w:t>Диалектический материализм</w:t>
        </w:r>
      </w:hyperlink>
      <w:r>
        <w:rPr>
          <w:color w:val="000000"/>
          <w:sz w:val="27"/>
          <w:szCs w:val="27"/>
        </w:rPr>
        <w:t> исходит из положения о том, что мир познаваем, и решительно отвергает утверждение о его непознаваемости, то есть </w:t>
      </w:r>
      <w:hyperlink r:id="rId22" w:history="1">
        <w:r>
          <w:rPr>
            <w:rStyle w:val="a4"/>
            <w:i/>
            <w:iCs/>
            <w:sz w:val="27"/>
            <w:szCs w:val="27"/>
          </w:rPr>
          <w:t>агностицизм</w:t>
        </w:r>
      </w:hyperlink>
      <w:r>
        <w:rPr>
          <w:i/>
          <w:iCs/>
          <w:color w:val="000000"/>
          <w:sz w:val="27"/>
          <w:szCs w:val="27"/>
        </w:rPr>
        <w:t>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  </w:t>
      </w:r>
      <w:r>
        <w:rPr>
          <w:color w:val="000000"/>
          <w:sz w:val="27"/>
          <w:szCs w:val="27"/>
        </w:rPr>
        <w:t>Будучи последовательно материалистической, марксистско-ленинская Т. п. не есть, однако, простое продолжение сложившейся в домарксистской философии материалистической линии в решении проблем гносеологии (см. </w:t>
      </w:r>
      <w:hyperlink r:id="rId23" w:history="1">
        <w:r>
          <w:rPr>
            <w:rStyle w:val="a4"/>
            <w:i/>
            <w:iCs/>
            <w:sz w:val="27"/>
            <w:szCs w:val="27"/>
          </w:rPr>
          <w:t>Материализм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. </w:t>
      </w:r>
      <w:r>
        <w:rPr>
          <w:color w:val="000000"/>
          <w:sz w:val="27"/>
          <w:szCs w:val="27"/>
        </w:rPr>
        <w:t>В системе философии марксизма-ленинизма Т. п. существенно преобразуется и по структуре, и по содержанию своих проблем, и по характеру связи как с другими разделами философии и социальной теории, так и с проблемами реальной жизни.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  Основная особенность диалектико-материалистической Т. п. определяется тем, что её развитие осуществляется на основе материалистически истолковываемого тезиса о единстве </w:t>
      </w:r>
      <w:hyperlink r:id="rId24" w:history="1">
        <w:r>
          <w:rPr>
            <w:rStyle w:val="a4"/>
            <w:i/>
            <w:iCs/>
            <w:sz w:val="27"/>
            <w:szCs w:val="27"/>
          </w:rPr>
          <w:t>диалектики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логики и Т. п. (см. </w:t>
      </w:r>
      <w:hyperlink r:id="rId25" w:history="1">
        <w:r>
          <w:rPr>
            <w:rStyle w:val="a4"/>
            <w:i/>
            <w:iCs/>
            <w:sz w:val="27"/>
            <w:szCs w:val="27"/>
          </w:rPr>
          <w:t>Диалектическая логика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 «Диалектика и есть теория познания (Гегеля и) марксизма...» (Ленин В. </w:t>
      </w:r>
      <w:proofErr w:type="gramStart"/>
      <w:r>
        <w:rPr>
          <w:color w:val="000000"/>
          <w:sz w:val="27"/>
          <w:szCs w:val="27"/>
        </w:rPr>
        <w:t>И..</w:t>
      </w:r>
      <w:proofErr w:type="gramEnd"/>
      <w:r>
        <w:rPr>
          <w:color w:val="000000"/>
          <w:sz w:val="27"/>
          <w:szCs w:val="27"/>
        </w:rPr>
        <w:t xml:space="preserve"> Полн. собр. соч., 5 изд., т. 29, с. 321). Это означает, что в системе марксистско-ленинской философии не существует ни «чистой онтологии», ни «чистой гносеологии»; во всякой крупной философской проблеме диалектический материализм рассматривает онтологический и гносеологический аспекты в их единстве. Примеры такого принципиально нового подхода даёт работа Ленина «Материализм и эмпириокритицизм», в которой содержится теоретико-познавательное истолкование ряда категорий, являющихся, с точки зрения метафизической философии, «чисто онтологическими», — </w:t>
      </w:r>
      <w:hyperlink r:id="rId26" w:history="1">
        <w:r>
          <w:rPr>
            <w:rStyle w:val="a4"/>
            <w:i/>
            <w:iCs/>
            <w:sz w:val="27"/>
            <w:szCs w:val="27"/>
          </w:rPr>
          <w:t>материи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27" w:history="1">
        <w:r>
          <w:rPr>
            <w:rStyle w:val="a4"/>
            <w:i/>
            <w:iCs/>
            <w:sz w:val="27"/>
            <w:szCs w:val="27"/>
          </w:rPr>
          <w:t>движения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28" w:history="1">
        <w:r>
          <w:rPr>
            <w:rStyle w:val="a4"/>
            <w:i/>
            <w:iCs/>
            <w:sz w:val="27"/>
            <w:szCs w:val="27"/>
          </w:rPr>
          <w:t>пространства и времени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29" w:history="1">
        <w:r>
          <w:rPr>
            <w:rStyle w:val="a4"/>
            <w:i/>
            <w:iCs/>
            <w:sz w:val="27"/>
            <w:szCs w:val="27"/>
          </w:rPr>
          <w:t>причинности</w:t>
        </w:r>
      </w:hyperlink>
      <w:r>
        <w:rPr>
          <w:color w:val="000000"/>
          <w:sz w:val="27"/>
          <w:szCs w:val="27"/>
        </w:rPr>
        <w:t> и др. Вместе с тем при решении любой проблемы Т. п. марксизм-ленинизм исходит из определённых представлений о структуре объективной реальности, о месте познавательного процесса в системе действительности.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Диалектический материализм не только снимает противопоставление Т. п. и </w:t>
      </w:r>
      <w:hyperlink r:id="rId30" w:history="1">
        <w:r>
          <w:rPr>
            <w:rStyle w:val="a4"/>
            <w:i/>
            <w:iCs/>
            <w:sz w:val="27"/>
            <w:szCs w:val="27"/>
          </w:rPr>
          <w:t>онтологии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но кладет конец характерному для немарксистской философии отрыву проблем Т. п. от проблем социального бытия. Сущность и природа познания носят социальный характер и, следовательно, не могут быть поняты в изоляции от предметно-практической деятельности, которая есть подлинная сущность человека. Поэтому </w:t>
      </w:r>
      <w:hyperlink r:id="rId31" w:history="1">
        <w:r>
          <w:rPr>
            <w:rStyle w:val="a4"/>
            <w:i/>
            <w:iCs/>
            <w:sz w:val="27"/>
            <w:szCs w:val="27"/>
          </w:rPr>
          <w:t>субъект</w:t>
        </w:r>
      </w:hyperlink>
      <w:r>
        <w:rPr>
          <w:color w:val="000000"/>
          <w:sz w:val="27"/>
          <w:szCs w:val="27"/>
        </w:rPr>
        <w:t> познания производен от субъекта </w:t>
      </w:r>
      <w:hyperlink r:id="rId32" w:history="1">
        <w:r>
          <w:rPr>
            <w:rStyle w:val="a4"/>
            <w:i/>
            <w:iCs/>
            <w:sz w:val="27"/>
            <w:szCs w:val="27"/>
          </w:rPr>
          <w:t>практики</w:t>
        </w:r>
      </w:hyperlink>
      <w:r>
        <w:rPr>
          <w:i/>
          <w:iCs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t xml:space="preserve"> познающий субъект — это не изолированный от др. людей индивид (так называемый «гносеологический </w:t>
      </w:r>
      <w:proofErr w:type="spellStart"/>
      <w:r>
        <w:rPr>
          <w:color w:val="000000"/>
          <w:sz w:val="27"/>
          <w:szCs w:val="27"/>
        </w:rPr>
        <w:t>робинзон</w:t>
      </w:r>
      <w:proofErr w:type="spellEnd"/>
      <w:r>
        <w:rPr>
          <w:color w:val="000000"/>
          <w:sz w:val="27"/>
          <w:szCs w:val="27"/>
        </w:rPr>
        <w:t>» метафизической философии), а человек, включенный в социальную жизнь, использующий общественно выработанные формы познавательной деятельности — как материальные (орудия труда, инструменты, приборы и т. д.) так и идеальные (язык, категории логики и т. п.).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Исходные знания о мире даны человеку в чувств. познании — </w:t>
      </w:r>
      <w:hyperlink r:id="rId33" w:history="1">
        <w:r>
          <w:rPr>
            <w:rStyle w:val="a4"/>
            <w:i/>
            <w:iCs/>
            <w:sz w:val="27"/>
            <w:szCs w:val="27"/>
          </w:rPr>
          <w:t>ощущениях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34" w:history="1">
        <w:r>
          <w:rPr>
            <w:rStyle w:val="a4"/>
            <w:i/>
            <w:iCs/>
            <w:sz w:val="27"/>
            <w:szCs w:val="27"/>
          </w:rPr>
          <w:t>восприятиях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35" w:history="1">
        <w:r>
          <w:rPr>
            <w:rStyle w:val="a4"/>
            <w:i/>
            <w:iCs/>
            <w:sz w:val="27"/>
            <w:szCs w:val="27"/>
          </w:rPr>
          <w:t>представлениях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Марксистская Т. п. противостоит идеалистическому и метафизически истолкованному </w:t>
      </w:r>
      <w:hyperlink r:id="rId36" w:history="1">
        <w:r>
          <w:rPr>
            <w:rStyle w:val="a4"/>
            <w:i/>
            <w:iCs/>
            <w:sz w:val="27"/>
            <w:szCs w:val="27"/>
          </w:rPr>
          <w:t>сенсуализму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она подчёркивает несводимость рационального познания (</w:t>
      </w:r>
      <w:hyperlink r:id="rId37" w:history="1">
        <w:r>
          <w:rPr>
            <w:rStyle w:val="a4"/>
            <w:i/>
            <w:iCs/>
            <w:sz w:val="27"/>
            <w:szCs w:val="27"/>
          </w:rPr>
          <w:t>мышления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38" w:history="1">
        <w:r>
          <w:rPr>
            <w:rStyle w:val="a4"/>
            <w:i/>
            <w:iCs/>
            <w:sz w:val="27"/>
            <w:szCs w:val="27"/>
          </w:rPr>
          <w:t>понятия</w:t>
        </w:r>
      </w:hyperlink>
      <w:r>
        <w:rPr>
          <w:color w:val="000000"/>
          <w:sz w:val="27"/>
          <w:szCs w:val="27"/>
        </w:rPr>
        <w:t>) к простому суммированию или механическому преобразованию данных органов чувств. Результаты мыслит. деятельности не только дают новое знание, непосредственно не содержащееся в данных чувственности, но и активно влияют на структуру и содержание чувств. познания. Поэтому те эмпирические данные, с которыми имеет дело наука, образуются в результате использования теоретических положений для описания содержания чувственного </w:t>
      </w:r>
      <w:hyperlink r:id="rId39" w:history="1">
        <w:r>
          <w:rPr>
            <w:rStyle w:val="a4"/>
            <w:i/>
            <w:iCs/>
            <w:sz w:val="27"/>
            <w:szCs w:val="27"/>
          </w:rPr>
          <w:t>опыта</w:t>
        </w:r>
      </w:hyperlink>
      <w:r>
        <w:rPr>
          <w:color w:val="000000"/>
          <w:sz w:val="27"/>
          <w:szCs w:val="27"/>
        </w:rPr>
        <w:t> и предполагают ряд теоретических </w:t>
      </w:r>
      <w:hyperlink r:id="rId40" w:history="1">
        <w:r>
          <w:rPr>
            <w:rStyle w:val="a4"/>
            <w:i/>
            <w:iCs/>
            <w:sz w:val="27"/>
            <w:szCs w:val="27"/>
          </w:rPr>
          <w:t>идеализаций</w:t>
        </w:r>
      </w:hyperlink>
      <w:r>
        <w:rPr>
          <w:i/>
          <w:iCs/>
          <w:color w:val="000000"/>
          <w:sz w:val="27"/>
          <w:szCs w:val="27"/>
        </w:rPr>
        <w:t>. </w:t>
      </w:r>
      <w:r>
        <w:rPr>
          <w:color w:val="000000"/>
          <w:sz w:val="27"/>
          <w:szCs w:val="27"/>
        </w:rPr>
        <w:t>Наряду с этим чувственный опыт, выступающий в качестве исходной основы познавательного процесса, понимается не как пассивное запечатление воздействия предметов внешнего мира, а как момент активной практической, чувственно-предметной деятельности.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  Теоретическое мышление руководствуется при воспроизведении объекта познания методом </w:t>
      </w:r>
      <w:hyperlink r:id="rId41" w:history="1">
        <w:r>
          <w:rPr>
            <w:rStyle w:val="a4"/>
            <w:i/>
            <w:iCs/>
            <w:sz w:val="27"/>
            <w:szCs w:val="27"/>
          </w:rPr>
          <w:t>восхождения от абстрактного к конкретному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с которым неразрывно связаны принципы единства </w:t>
      </w:r>
      <w:hyperlink r:id="rId42" w:history="1">
        <w:r>
          <w:rPr>
            <w:rStyle w:val="a4"/>
            <w:i/>
            <w:iCs/>
            <w:sz w:val="27"/>
            <w:szCs w:val="27"/>
          </w:rPr>
          <w:t>логического и исторического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43" w:history="1">
        <w:r>
          <w:rPr>
            <w:rStyle w:val="a4"/>
            <w:i/>
            <w:iCs/>
            <w:sz w:val="27"/>
            <w:szCs w:val="27"/>
          </w:rPr>
          <w:t>анализа</w:t>
        </w:r>
      </w:hyperlink>
      <w:r>
        <w:rPr>
          <w:color w:val="000000"/>
          <w:sz w:val="27"/>
          <w:szCs w:val="27"/>
        </w:rPr>
        <w:t> и </w:t>
      </w:r>
      <w:hyperlink r:id="rId44" w:history="1">
        <w:r>
          <w:rPr>
            <w:rStyle w:val="a4"/>
            <w:i/>
            <w:iCs/>
            <w:sz w:val="27"/>
            <w:szCs w:val="27"/>
          </w:rPr>
          <w:t>синтеза</w:t>
        </w:r>
      </w:hyperlink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(см. </w:t>
      </w:r>
      <w:hyperlink r:id="rId45" w:history="1">
        <w:r>
          <w:rPr>
            <w:rStyle w:val="a4"/>
            <w:i/>
            <w:iCs/>
            <w:sz w:val="27"/>
            <w:szCs w:val="27"/>
          </w:rPr>
          <w:t>Метод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46" w:history="1">
        <w:r>
          <w:rPr>
            <w:rStyle w:val="a4"/>
            <w:i/>
            <w:iCs/>
            <w:sz w:val="27"/>
            <w:szCs w:val="27"/>
          </w:rPr>
          <w:t>Методология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Формами отражения объективной действительности в познании являются </w:t>
      </w:r>
      <w:hyperlink r:id="rId47" w:history="1">
        <w:r>
          <w:rPr>
            <w:rStyle w:val="a4"/>
            <w:i/>
            <w:iCs/>
            <w:sz w:val="27"/>
            <w:szCs w:val="27"/>
          </w:rPr>
          <w:t>категории</w:t>
        </w:r>
      </w:hyperlink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 законы материалистической диалектики, выступающие также и как методология. принципы научно-теоретической деятельности. Общая схема процесса познания выражена в положении Ленина: «От живого созерцания к абстрактному мышлению и от него к практике» (там же, с. 152—53).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Характер и уровень развития материальной практики, то есть деятельности по преобразованию природной и социальной реальности, определяет и горизонт познания для любых конкретных условий истории. В классово-антагонистическом обществе характер практики того или иного класса существенно определяет возможности объективно-истинного познания для его представителей. Революционное преобразование общества, осуществляемое рабочим классом, не только обеспечивает всемирно-исторический прогресс человечества, но и непосредственно служит прогрессу познания.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Познавательный процесс рассматривается в марксистско-ленинской Т. п. не только и не столько в той форме, в какой он осуществляется в голове индивида, сколько в форме социально-исторического процесса развития знания. Т. п., подчёркивал Ленин, «... должна рассматривать свой предмет... исторически, изучая и обобщая происхождение и развитие познания, переход от незнания к познанию» (там же, т. 26, с. 55). Познание мира отдельным человеком опосредовано всемирно-историческим процессом развития знания. Для домарксистской и немарксистской Т. п. характерно сведение проблемы обоснования знания к поиску некоей абсолютно неизменной, внеисторической предельной основы всякого знания, позволяющей осуществлять внеисторическую оценку продуктов познавательной деятельности. Марксистско-ленинская Т. п. последовательно проводя диалектико-материалистический принцип </w:t>
      </w:r>
      <w:hyperlink r:id="rId48" w:history="1">
        <w:r>
          <w:rPr>
            <w:rStyle w:val="a4"/>
            <w:i/>
            <w:iCs/>
            <w:sz w:val="27"/>
            <w:szCs w:val="27"/>
          </w:rPr>
          <w:t>историзма</w:t>
        </w:r>
      </w:hyperlink>
      <w:r>
        <w:rPr>
          <w:color w:val="000000"/>
          <w:sz w:val="27"/>
          <w:szCs w:val="27"/>
        </w:rPr>
        <w:t xml:space="preserve"> в анализе знания, подчёркивает </w:t>
      </w:r>
      <w:proofErr w:type="spellStart"/>
      <w:r>
        <w:rPr>
          <w:color w:val="000000"/>
          <w:sz w:val="27"/>
          <w:szCs w:val="27"/>
        </w:rPr>
        <w:t>конкретноисторический</w:t>
      </w:r>
      <w:proofErr w:type="spellEnd"/>
      <w:r>
        <w:rPr>
          <w:color w:val="000000"/>
          <w:sz w:val="27"/>
          <w:szCs w:val="27"/>
        </w:rPr>
        <w:t xml:space="preserve"> характер оснований знания, изменение логической структуры систем знания (и прежде всего научных теорий) в процессе развития человеческого познания, которое происходит в определённой связи с изменением социальных и культурных институтов. Вместе с тем диалектический материализм решительно выступает против какого бы то ни было гносеологического </w:t>
      </w:r>
      <w:hyperlink r:id="rId49" w:history="1">
        <w:r>
          <w:rPr>
            <w:rStyle w:val="a4"/>
            <w:i/>
            <w:iCs/>
            <w:sz w:val="27"/>
            <w:szCs w:val="27"/>
          </w:rPr>
          <w:t>релятивизма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развивая учение о диалектике абсолютной и относительной </w:t>
      </w:r>
      <w:hyperlink r:id="rId50" w:history="1">
        <w:r>
          <w:rPr>
            <w:rStyle w:val="a4"/>
            <w:i/>
            <w:iCs/>
            <w:sz w:val="27"/>
            <w:szCs w:val="27"/>
          </w:rPr>
          <w:t>истины</w:t>
        </w:r>
      </w:hyperlink>
      <w:r>
        <w:rPr>
          <w:color w:val="000000"/>
          <w:sz w:val="27"/>
          <w:szCs w:val="27"/>
        </w:rPr>
        <w:t> и подчёркивая наличие в человеческих знаниях объективной истины, то есть такого содержания, которое не зависит ни от человека, ни от человечества. Этапы познания — это ступени на пути всё более точного и всестороннего воспроизведения в знании объективного положения дел. Общественно-историческая практика выступает не только как основа и цель познания, но и как критерий истины.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Краеугольный камень материалистической Т. п. — принцип </w:t>
      </w:r>
      <w:hyperlink r:id="rId51" w:history="1">
        <w:r>
          <w:rPr>
            <w:rStyle w:val="a4"/>
            <w:i/>
            <w:iCs/>
            <w:sz w:val="27"/>
            <w:szCs w:val="27"/>
          </w:rPr>
          <w:t>отражения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 Диалектико-материалистическая теория отражения, </w:t>
      </w:r>
      <w:r>
        <w:rPr>
          <w:color w:val="000000"/>
          <w:sz w:val="27"/>
          <w:szCs w:val="27"/>
        </w:rPr>
        <w:lastRenderedPageBreak/>
        <w:t xml:space="preserve">основы которой заложены К. Марксом и Ф. Энгельсом и разработка которой была поднята на новую ступень В. И. Лениным, лежит в фундаменте всей марксистско-ленинской философии. В системе диалектического материализма нет абсолютного совпадения Т. п. и теории отражения. Последняя имеет дело не только с анализом познания и знания, но и с исследованием тех форм отражения, которые существуют на </w:t>
      </w:r>
      <w:proofErr w:type="spellStart"/>
      <w:r>
        <w:rPr>
          <w:color w:val="000000"/>
          <w:sz w:val="27"/>
          <w:szCs w:val="27"/>
        </w:rPr>
        <w:t>допознавательном</w:t>
      </w:r>
      <w:proofErr w:type="spellEnd"/>
      <w:r>
        <w:rPr>
          <w:color w:val="000000"/>
          <w:sz w:val="27"/>
          <w:szCs w:val="27"/>
        </w:rPr>
        <w:t xml:space="preserve"> уровне, в частности в неживой природе. </w:t>
      </w:r>
      <w:proofErr w:type="spellStart"/>
      <w:r>
        <w:rPr>
          <w:color w:val="000000"/>
          <w:sz w:val="27"/>
          <w:szCs w:val="27"/>
        </w:rPr>
        <w:t>Марксистсколенинская</w:t>
      </w:r>
      <w:proofErr w:type="spellEnd"/>
      <w:r>
        <w:rPr>
          <w:color w:val="000000"/>
          <w:sz w:val="27"/>
          <w:szCs w:val="27"/>
        </w:rPr>
        <w:t xml:space="preserve"> теория отражения существенным образом отличается от теории отражения домарксистского метафизического материализма, носившей созерцательный характер. Диалектический материализм показывает, что специфически человеческое отражение осуществляется в неразрывной связи и на основе активной практической преобразовательной деятельности. Поэтому и сам познавательный процесс протекает не в форме пассивного созерцания некоторых вовне данных объектов, а в виде ряда организованных в систему идеальных действий, операций, формирующих определённые «идеальные объекты», которые и служат средствами для познавательного освоения, отражения объективного мира. Процесс отражения, таким образом, понимается в неразрывной связи с процессом материального и идеального творчества.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  История Т. п. доказывает, что эта область философии в большей степени, чем другие, связана с наукой, выступая в ряде случаев как критический анализ и истолкование (не всегда, конечно, адекватное) научных данных. Так, Т. п. Канта в значительной степени есть попытка философского осмысления </w:t>
      </w:r>
      <w:proofErr w:type="spellStart"/>
      <w:r>
        <w:rPr>
          <w:color w:val="000000"/>
          <w:sz w:val="27"/>
          <w:szCs w:val="27"/>
        </w:rPr>
        <w:t>ньютоновской</w:t>
      </w:r>
      <w:proofErr w:type="spellEnd"/>
      <w:r>
        <w:rPr>
          <w:color w:val="000000"/>
          <w:sz w:val="27"/>
          <w:szCs w:val="27"/>
        </w:rPr>
        <w:t xml:space="preserve"> механики; логический позитивизм пытался выдать себя за концепцию, формулирующую познавательные процедуры, которые характеризуют современную науку. Однако Т. п. не тождественна некоей </w:t>
      </w:r>
      <w:proofErr w:type="spellStart"/>
      <w:r>
        <w:rPr>
          <w:color w:val="000000"/>
          <w:sz w:val="27"/>
          <w:szCs w:val="27"/>
        </w:rPr>
        <w:t>метанауке</w:t>
      </w:r>
      <w:proofErr w:type="spellEnd"/>
      <w:r>
        <w:rPr>
          <w:color w:val="000000"/>
          <w:sz w:val="27"/>
          <w:szCs w:val="27"/>
        </w:rPr>
        <w:t xml:space="preserve">. Она сложилась как сфера философского знания задолго до появления современной науки; к тому же не всякое </w:t>
      </w:r>
      <w:proofErr w:type="spellStart"/>
      <w:r>
        <w:rPr>
          <w:color w:val="000000"/>
          <w:sz w:val="27"/>
          <w:szCs w:val="27"/>
        </w:rPr>
        <w:t>метанаучное</w:t>
      </w:r>
      <w:proofErr w:type="spellEnd"/>
      <w:r>
        <w:rPr>
          <w:color w:val="000000"/>
          <w:sz w:val="27"/>
          <w:szCs w:val="27"/>
        </w:rPr>
        <w:t xml:space="preserve"> исследование носит гносеологический характер. Как анализ логической структуры той или иной конкретной научной теории (например, </w:t>
      </w:r>
      <w:hyperlink r:id="rId52" w:history="1">
        <w:r>
          <w:rPr>
            <w:rStyle w:val="a4"/>
            <w:i/>
            <w:iCs/>
            <w:sz w:val="27"/>
            <w:szCs w:val="27"/>
          </w:rPr>
          <w:t>метаматематика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53" w:history="1">
        <w:r>
          <w:rPr>
            <w:rStyle w:val="a4"/>
            <w:i/>
            <w:iCs/>
            <w:sz w:val="27"/>
            <w:szCs w:val="27"/>
          </w:rPr>
          <w:t>металогика</w:t>
        </w:r>
      </w:hyperlink>
      <w:r>
        <w:rPr>
          <w:color w:val="000000"/>
          <w:sz w:val="27"/>
          <w:szCs w:val="27"/>
        </w:rPr>
        <w:t> и т. д.). так и изучение с помощью аппарата современной формальной логики связей между элементами языка целых классов научных теорий (так называемый логический анализ языка науки, см. </w:t>
      </w:r>
      <w:hyperlink r:id="rId54" w:history="1">
        <w:r>
          <w:rPr>
            <w:rStyle w:val="a4"/>
            <w:i/>
            <w:iCs/>
            <w:sz w:val="27"/>
            <w:szCs w:val="27"/>
          </w:rPr>
          <w:t>Логика науки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сами по себе не являются гносеологическими исследованиями. Теоретико-познавательное истолкование науки начинается там, где теоретические конструкции интерпретируются с точки зрения их соответствия реальности, истинности, возможности приписать статус существования тем или иным используемым в </w:t>
      </w:r>
      <w:hyperlink r:id="rId55" w:history="1">
        <w:r>
          <w:rPr>
            <w:rStyle w:val="a4"/>
            <w:i/>
            <w:iCs/>
            <w:sz w:val="27"/>
            <w:szCs w:val="27"/>
          </w:rPr>
          <w:t>теории</w:t>
        </w:r>
      </w:hyperlink>
      <w:r>
        <w:rPr>
          <w:color w:val="000000"/>
          <w:sz w:val="27"/>
          <w:szCs w:val="27"/>
        </w:rPr>
        <w:t xml:space="preserve"> абстрактным объектам, возможности оценить как аналитические или синтетические те или иные высказывания данной научной области. Такое исследование связано с анализом содержания эмпирических данных, подтверждающих теорию, с точки зрения их обоснованности, наличия в них достоверного и проблематического знания. Гносеологическая интерпретация конкретных научных теорий выступает, с одной стороны, как приложение некоторых общих принципов Т. п. к анализу специальных случаев, с другой — как своеобразная ассимиляция новых научных результатов для уточнения, а иногда и пересмотра некоторых общих гносеологических постулатов. Например, революция в физике на рубеже 19—20 вв. продемонстрировала полную несостоятельность Т. п. созерцательного, </w:t>
      </w:r>
      <w:r>
        <w:rPr>
          <w:color w:val="000000"/>
          <w:sz w:val="27"/>
          <w:szCs w:val="27"/>
        </w:rPr>
        <w:lastRenderedPageBreak/>
        <w:t>метафизического материализма; Т. п. махизма и логического позитивизма пришла в очевидное противоречие с развитием современной науки. Ленин, проанализировав развитие естествознания в начале 20 в.. творчески разработал основные принципы диалектико-материалистической Т. п. Гносеологическая ассимиляция новых научных данных не имеет ничего общего с простым «индуктивным обобщением»: развитие науки может потребовать новой гносеологической интерпретации её результатов, которая приводит к необходимости обратиться прежде всего к классической проблематике Т. п.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Во 2-й половине 20 в. больше, чем когда-либо раньше, стала ясна несостоятельность идеалистических претензий (наиболее выраженных неокантианцами) на истолкование Т. п. как особой, специальной научной дисциплины, не имеющей ничего общего с «метафизикой». Т. п. была и остаётся особой сферой философского знания, которая в силу этого не может быть оторвана от решения основных мировоззренческих проблем.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</w:p>
    <w:p w:rsidR="007C498C" w:rsidRPr="00207F0D" w:rsidRDefault="007C498C" w:rsidP="007C498C">
      <w:pPr>
        <w:pStyle w:val="a3"/>
        <w:rPr>
          <w:b/>
          <w:color w:val="000000"/>
          <w:sz w:val="28"/>
          <w:szCs w:val="28"/>
        </w:rPr>
      </w:pPr>
      <w:r w:rsidRPr="00207F0D">
        <w:rPr>
          <w:b/>
          <w:color w:val="000000"/>
          <w:sz w:val="28"/>
          <w:szCs w:val="28"/>
        </w:rPr>
        <w:t>Контрольная работа: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</w:p>
    <w:p w:rsidR="007C498C" w:rsidRDefault="00207F0D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</w:t>
      </w:r>
      <w:r w:rsidR="007C498C">
        <w:rPr>
          <w:color w:val="000000"/>
          <w:sz w:val="27"/>
          <w:szCs w:val="27"/>
        </w:rPr>
        <w:t>Чем различны термины «знание» и «познание»?</w:t>
      </w:r>
    </w:p>
    <w:p w:rsidR="007C498C" w:rsidRDefault="00207F0D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</w:t>
      </w:r>
      <w:r w:rsidR="007C498C">
        <w:rPr>
          <w:color w:val="000000"/>
          <w:sz w:val="27"/>
          <w:szCs w:val="27"/>
        </w:rPr>
        <w:t>Охарактеризуйте агностицизм как философское учение?</w:t>
      </w:r>
      <w:bookmarkStart w:id="0" w:name="_GoBack"/>
      <w:bookmarkEnd w:id="0"/>
    </w:p>
    <w:p w:rsidR="007C498C" w:rsidRDefault="00207F0D" w:rsidP="007C498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</w:t>
      </w:r>
      <w:r w:rsidR="007C498C">
        <w:rPr>
          <w:color w:val="000000"/>
          <w:sz w:val="27"/>
          <w:szCs w:val="27"/>
        </w:rPr>
        <w:t>Каковы приемы и методы Канта при рассмотрении гносеологии?</w:t>
      </w:r>
    </w:p>
    <w:p w:rsidR="007C498C" w:rsidRDefault="007C498C" w:rsidP="007C498C">
      <w:pPr>
        <w:pStyle w:val="a3"/>
        <w:rPr>
          <w:color w:val="000000"/>
          <w:sz w:val="27"/>
          <w:szCs w:val="27"/>
        </w:rPr>
      </w:pPr>
      <w:r w:rsidRPr="00207F0D">
        <w:rPr>
          <w:b/>
          <w:color w:val="000000"/>
          <w:sz w:val="28"/>
          <w:szCs w:val="28"/>
        </w:rPr>
        <w:t xml:space="preserve">Один вопрос на </w:t>
      </w:r>
      <w:proofErr w:type="spellStart"/>
      <w:proofErr w:type="gramStart"/>
      <w:r w:rsidRPr="00207F0D">
        <w:rPr>
          <w:b/>
          <w:color w:val="000000"/>
          <w:sz w:val="28"/>
          <w:szCs w:val="28"/>
        </w:rPr>
        <w:t>вы</w:t>
      </w:r>
      <w:r w:rsidR="00207F0D" w:rsidRPr="00207F0D">
        <w:rPr>
          <w:b/>
          <w:color w:val="000000"/>
          <w:sz w:val="28"/>
          <w:szCs w:val="28"/>
        </w:rPr>
        <w:t>бор.Выполнить</w:t>
      </w:r>
      <w:proofErr w:type="spellEnd"/>
      <w:proofErr w:type="gramEnd"/>
      <w:r w:rsidR="00207F0D" w:rsidRPr="00207F0D">
        <w:rPr>
          <w:b/>
          <w:color w:val="000000"/>
          <w:sz w:val="28"/>
          <w:szCs w:val="28"/>
        </w:rPr>
        <w:t xml:space="preserve"> к следующему занятию</w:t>
      </w:r>
      <w:r w:rsidR="00207F0D">
        <w:rPr>
          <w:color w:val="000000"/>
          <w:sz w:val="27"/>
          <w:szCs w:val="27"/>
        </w:rPr>
        <w:t>.</w:t>
      </w:r>
    </w:p>
    <w:p w:rsidR="00A87A5A" w:rsidRDefault="00A87A5A"/>
    <w:sectPr w:rsidR="00A87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CCF"/>
    <w:rsid w:val="00207F0D"/>
    <w:rsid w:val="007C498C"/>
    <w:rsid w:val="00A87A5A"/>
    <w:rsid w:val="00DE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59B2"/>
  <w15:chartTrackingRefBased/>
  <w15:docId w15:val="{763C02AE-504E-466D-8C71-2821383B1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ed">
    <w:name w:val="accented"/>
    <w:basedOn w:val="a0"/>
    <w:rsid w:val="007C498C"/>
  </w:style>
  <w:style w:type="character" w:styleId="a4">
    <w:name w:val="Hyperlink"/>
    <w:basedOn w:val="a0"/>
    <w:uiPriority w:val="99"/>
    <w:semiHidden/>
    <w:unhideWhenUsed/>
    <w:rsid w:val="007C49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ooksite.ru/fulltext/1/001/008/081/122.htm" TargetMode="External"/><Relationship Id="rId18" Type="http://schemas.openxmlformats.org/officeDocument/2006/relationships/hyperlink" Target="https://www.booksite.ru/fulltext/1/001/008/053/209.htm" TargetMode="External"/><Relationship Id="rId26" Type="http://schemas.openxmlformats.org/officeDocument/2006/relationships/hyperlink" Target="https://www.booksite.ru/fulltext/1/001/008/074/368.htm" TargetMode="External"/><Relationship Id="rId39" Type="http://schemas.openxmlformats.org/officeDocument/2006/relationships/hyperlink" Target="https://www.booksite.ru/fulltext/1/001/008/084/733.htm" TargetMode="External"/><Relationship Id="rId21" Type="http://schemas.openxmlformats.org/officeDocument/2006/relationships/hyperlink" Target="https://www.booksite.ru/fulltext/1/001/008/027/043.htm" TargetMode="External"/><Relationship Id="rId34" Type="http://schemas.openxmlformats.org/officeDocument/2006/relationships/hyperlink" Target="https://www.booksite.ru/fulltext/1/001/008/006/771.htm" TargetMode="External"/><Relationship Id="rId42" Type="http://schemas.openxmlformats.org/officeDocument/2006/relationships/hyperlink" Target="https://www.booksite.ru/fulltext/1/001/008/071/065.htm" TargetMode="External"/><Relationship Id="rId47" Type="http://schemas.openxmlformats.org/officeDocument/2006/relationships/hyperlink" Target="https://www.booksite.ru/fulltext/1/001/008/059/910.htm" TargetMode="External"/><Relationship Id="rId50" Type="http://schemas.openxmlformats.org/officeDocument/2006/relationships/hyperlink" Target="https://www.booksite.ru/fulltext/1/001/008/056/849.htm" TargetMode="External"/><Relationship Id="rId55" Type="http://schemas.openxmlformats.org/officeDocument/2006/relationships/hyperlink" Target="https://www.booksite.ru/fulltext/1/001/008/109/843.htm" TargetMode="External"/><Relationship Id="rId7" Type="http://schemas.openxmlformats.org/officeDocument/2006/relationships/hyperlink" Target="https://www.booksite.ru/fulltext/1/001/008/084/733.htm" TargetMode="External"/><Relationship Id="rId12" Type="http://schemas.openxmlformats.org/officeDocument/2006/relationships/hyperlink" Target="https://www.booksite.ru/fulltext/1/001/008/004/655.htm" TargetMode="External"/><Relationship Id="rId17" Type="http://schemas.openxmlformats.org/officeDocument/2006/relationships/hyperlink" Target="https://www.booksite.ru/fulltext/1/001/008/081/146.htm" TargetMode="External"/><Relationship Id="rId25" Type="http://schemas.openxmlformats.org/officeDocument/2006/relationships/hyperlink" Target="https://www.booksite.ru/fulltext/1/001/008/027/033.htm" TargetMode="External"/><Relationship Id="rId33" Type="http://schemas.openxmlformats.org/officeDocument/2006/relationships/hyperlink" Target="https://www.booksite.ru/fulltext/1/001/008/086/053.htm" TargetMode="External"/><Relationship Id="rId38" Type="http://schemas.openxmlformats.org/officeDocument/2006/relationships/hyperlink" Target="https://www.booksite.ru/fulltext/1/001/008/091/470.htm" TargetMode="External"/><Relationship Id="rId46" Type="http://schemas.openxmlformats.org/officeDocument/2006/relationships/hyperlink" Target="https://www.booksite.ru/fulltext/1/001/008/076/034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site.ru/fulltext/1/001/008/071/062.htm" TargetMode="External"/><Relationship Id="rId20" Type="http://schemas.openxmlformats.org/officeDocument/2006/relationships/hyperlink" Target="https://www.booksite.ru/fulltext/1/001/008/085/387.htm" TargetMode="External"/><Relationship Id="rId29" Type="http://schemas.openxmlformats.org/officeDocument/2006/relationships/hyperlink" Target="https://www.booksite.ru/fulltext/1/001/008/092/957.htm" TargetMode="External"/><Relationship Id="rId41" Type="http://schemas.openxmlformats.org/officeDocument/2006/relationships/hyperlink" Target="https://www.booksite.ru/fulltext/1/001/008/006/878.htm" TargetMode="External"/><Relationship Id="rId54" Type="http://schemas.openxmlformats.org/officeDocument/2006/relationships/hyperlink" Target="https://www.booksite.ru/fulltext/1/001/008/071/050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ooksite.ru/fulltext/1/001/008/056/849.htm" TargetMode="External"/><Relationship Id="rId11" Type="http://schemas.openxmlformats.org/officeDocument/2006/relationships/hyperlink" Target="https://www.booksite.ru/fulltext/1/001/008/087/896.htm" TargetMode="External"/><Relationship Id="rId24" Type="http://schemas.openxmlformats.org/officeDocument/2006/relationships/hyperlink" Target="https://www.booksite.ru/fulltext/1/001/008/027/026.htm" TargetMode="External"/><Relationship Id="rId32" Type="http://schemas.openxmlformats.org/officeDocument/2006/relationships/hyperlink" Target="https://www.booksite.ru/fulltext/1/001/008/092/274.htm" TargetMode="External"/><Relationship Id="rId37" Type="http://schemas.openxmlformats.org/officeDocument/2006/relationships/hyperlink" Target="https://www.booksite.ru/fulltext/1/001/008/079/404.htm" TargetMode="External"/><Relationship Id="rId40" Type="http://schemas.openxmlformats.org/officeDocument/2006/relationships/hyperlink" Target="https://www.booksite.ru/fulltext/1/001/008/050/548.htm" TargetMode="External"/><Relationship Id="rId45" Type="http://schemas.openxmlformats.org/officeDocument/2006/relationships/hyperlink" Target="https://www.booksite.ru/fulltext/1/001/008/076/026.htm" TargetMode="External"/><Relationship Id="rId53" Type="http://schemas.openxmlformats.org/officeDocument/2006/relationships/hyperlink" Target="https://www.booksite.ru/fulltext/1/001/008/075/887.htm" TargetMode="External"/><Relationship Id="rId5" Type="http://schemas.openxmlformats.org/officeDocument/2006/relationships/hyperlink" Target="https://www.booksite.ru/fulltext/1/001/008/050/554.htm" TargetMode="External"/><Relationship Id="rId15" Type="http://schemas.openxmlformats.org/officeDocument/2006/relationships/hyperlink" Target="https://www.booksite.ru/fulltext/1/001/008/081/158.htm" TargetMode="External"/><Relationship Id="rId23" Type="http://schemas.openxmlformats.org/officeDocument/2006/relationships/hyperlink" Target="https://www.booksite.ru/fulltext/1/001/008/074/340.htm" TargetMode="External"/><Relationship Id="rId28" Type="http://schemas.openxmlformats.org/officeDocument/2006/relationships/hyperlink" Target="https://www.booksite.ru/fulltext/1/001/008/093/509.htm" TargetMode="External"/><Relationship Id="rId36" Type="http://schemas.openxmlformats.org/officeDocument/2006/relationships/hyperlink" Target="https://www.booksite.ru/fulltext/1/001/008/101/322.htm" TargetMode="External"/><Relationship Id="rId49" Type="http://schemas.openxmlformats.org/officeDocument/2006/relationships/hyperlink" Target="https://www.booksite.ru/fulltext/1/001/008/096/412.htm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booksite.ru/fulltext/1/001/008/007/009.htm" TargetMode="External"/><Relationship Id="rId19" Type="http://schemas.openxmlformats.org/officeDocument/2006/relationships/hyperlink" Target="https://www.booksite.ru/fulltext/1/001/008/125/520.htm" TargetMode="External"/><Relationship Id="rId31" Type="http://schemas.openxmlformats.org/officeDocument/2006/relationships/hyperlink" Target="https://www.booksite.ru/fulltext/1/001/008/107/275.htm" TargetMode="External"/><Relationship Id="rId44" Type="http://schemas.openxmlformats.org/officeDocument/2006/relationships/hyperlink" Target="https://www.booksite.ru/fulltext/1/001/008/102/433.htm" TargetMode="External"/><Relationship Id="rId52" Type="http://schemas.openxmlformats.org/officeDocument/2006/relationships/hyperlink" Target="https://www.booksite.ru/fulltext/1/001/008/075/890.htm" TargetMode="External"/><Relationship Id="rId4" Type="http://schemas.openxmlformats.org/officeDocument/2006/relationships/hyperlink" Target="https://www.booksite.ru/fulltext/1/001/008/074/340.htm" TargetMode="External"/><Relationship Id="rId9" Type="http://schemas.openxmlformats.org/officeDocument/2006/relationships/hyperlink" Target="https://www.booksite.ru/fulltext/1/001/008/126/499.htm" TargetMode="External"/><Relationship Id="rId14" Type="http://schemas.openxmlformats.org/officeDocument/2006/relationships/hyperlink" Target="https://www.booksite.ru/fulltext/1/001/008/074/544.htm" TargetMode="External"/><Relationship Id="rId22" Type="http://schemas.openxmlformats.org/officeDocument/2006/relationships/hyperlink" Target="https://www.booksite.ru/fulltext/1/001/008/112/732.htm" TargetMode="External"/><Relationship Id="rId27" Type="http://schemas.openxmlformats.org/officeDocument/2006/relationships/hyperlink" Target="https://www.booksite.ru/fulltext/1/001/008/020/210.htm" TargetMode="External"/><Relationship Id="rId30" Type="http://schemas.openxmlformats.org/officeDocument/2006/relationships/hyperlink" Target="https://www.booksite.ru/fulltext/1/001/008/084/489.htm" TargetMode="External"/><Relationship Id="rId35" Type="http://schemas.openxmlformats.org/officeDocument/2006/relationships/hyperlink" Target="https://www.booksite.ru/fulltext/1/001/008/092/417.htm" TargetMode="External"/><Relationship Id="rId43" Type="http://schemas.openxmlformats.org/officeDocument/2006/relationships/hyperlink" Target="https://www.booksite.ru/fulltext/1/001/008/052/663.htm" TargetMode="External"/><Relationship Id="rId48" Type="http://schemas.openxmlformats.org/officeDocument/2006/relationships/hyperlink" Target="https://www.booksite.ru/fulltext/1/001/008/056/877.htm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booksite.ru/fulltext/1/001/008/095/754.htm" TargetMode="External"/><Relationship Id="rId51" Type="http://schemas.openxmlformats.org/officeDocument/2006/relationships/hyperlink" Target="https://www.booksite.ru/fulltext/1/001/008/085/793.ht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3407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2020-10-30T05:20:00Z</dcterms:created>
  <dcterms:modified xsi:type="dcterms:W3CDTF">2020-10-30T05:33:00Z</dcterms:modified>
</cp:coreProperties>
</file>